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45241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FILOSOFIA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52410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8B4FE5">
                        <w:rPr>
                          <w:sz w:val="20"/>
                          <w:u w:val="none"/>
                        </w:rPr>
                        <w:t xml:space="preserve">NATALIE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452410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 – Na modernidade, a teoria do conhecimento contou com várias concepções, estendendo-se por um período que vai do final do século XVI a meados do século XVIII. Quanto a essas várias concepções, relacione os filósofos com o enfoque de suas investigações nesse âmbito.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I. Francis Bacon (1561-1626)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II. René Descartes (1596-1650)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III. John Locke (1637-1704)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IV. David </w:t>
      </w:r>
      <w:proofErr w:type="spellStart"/>
      <w:r w:rsidRPr="00452410">
        <w:rPr>
          <w:rFonts w:ascii="Arial" w:hAnsi="Arial" w:cs="Arial"/>
          <w:sz w:val="20"/>
          <w:szCs w:val="20"/>
        </w:rPr>
        <w:t>Hume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(1711-1776)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V. Immanuel Kant (1724-1804)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A. Afirmou que todo equívoco no entendimento situa-se no conhecimento sensível, de modo que o conhecimento verdadeiro vem do intelecto, alicerçando-se nas operações do entendimento, cujo ponto de partida </w:t>
      </w:r>
      <w:proofErr w:type="gramStart"/>
      <w:r w:rsidRPr="00452410">
        <w:rPr>
          <w:rFonts w:ascii="Arial" w:hAnsi="Arial" w:cs="Arial"/>
          <w:sz w:val="20"/>
          <w:szCs w:val="20"/>
        </w:rPr>
        <w:t>são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452410">
        <w:rPr>
          <w:rFonts w:ascii="Arial" w:hAnsi="Arial" w:cs="Arial"/>
          <w:sz w:val="20"/>
          <w:szCs w:val="20"/>
        </w:rPr>
        <w:t>ideias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inatas. B. Declarou que a mente humana é como uma </w:t>
      </w:r>
      <w:proofErr w:type="spellStart"/>
      <w:r w:rsidRPr="00452410">
        <w:rPr>
          <w:rFonts w:ascii="Arial" w:hAnsi="Arial" w:cs="Arial"/>
          <w:sz w:val="20"/>
          <w:szCs w:val="20"/>
        </w:rPr>
        <w:t>tábula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rasa, uma página inicialmente em branco que se preenche com os materiais recolhidos pelos sentidos, e que a formação de </w:t>
      </w:r>
      <w:proofErr w:type="spellStart"/>
      <w:r w:rsidRPr="00452410">
        <w:rPr>
          <w:rFonts w:ascii="Arial" w:hAnsi="Arial" w:cs="Arial"/>
          <w:sz w:val="20"/>
          <w:szCs w:val="20"/>
        </w:rPr>
        <w:t>ideias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na mente se processa a partir das sensações.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C. Defendeu 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de que nossa razão possui uma estrutura tanto universal quanto a priori, cuja função consiste em organizar a realidade nas formas da sensibilidade, bem como nas formas dos conceitos e das categorias do entendimento.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D. Estabeleceu, na moderna teoria do conhecimento, o conceito de indução, segundo o qual as ciências, em suas descobertas, devem partir do que é particular nas suas experimentações e nas suas observações, a ponto de chegar àquilo que é geral nas </w:t>
      </w:r>
      <w:proofErr w:type="spellStart"/>
      <w:r w:rsidRPr="00452410">
        <w:rPr>
          <w:rFonts w:ascii="Arial" w:hAnsi="Arial" w:cs="Arial"/>
          <w:sz w:val="20"/>
          <w:szCs w:val="20"/>
        </w:rPr>
        <w:t>ideias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E. Afirmou que os objetos da razão humana são relações de ideais e questões de fato, sendo que as primeiras consistem em afirmações demonstrativamente certas e as últimas referem-se a acontecimentos do mundo.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Assinale a alternativa que contém a associação correta.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B, II – A, III – E, IV – D, V – C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C, II – B, III – A, IV – D, V – E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C, II – B, III – E, IV – A, V – D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D, II – A, III – B, IV – E, V – C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2 – Hans Jonas, na obra O princípio responsabilidade, formulou um novo e característico imperativo categórico, relacionado a um novo tipo de ação humana: Age de tal forma que os efeitos de tua ação sejam compatíveis com a permanência de uma vida humana autêntica sobre a terra.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 xml:space="preserve">JONAS, 2006, p. 48.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A esse respeito, assinale a alternativa correta.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Podemos deduzir que Hans Jonas propõe que o importante é o bem do indivíduo e não o da coletividade futura.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ação de cada indivíduo não influencia a coletividade.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 importante é viver o presente sem se importar com o futuro da humanidade. </w:t>
      </w: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Podemos deduzir que não é importante a permanência da vida humana sobre a terra.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>. O imperativo proposto por Hans Jonas é de ordem racional, para um agir coletivo como um bem público e não individual.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452410">
        <w:rPr>
          <w:rFonts w:ascii="Arial" w:hAnsi="Arial" w:cs="Arial"/>
          <w:sz w:val="20"/>
          <w:szCs w:val="20"/>
        </w:rPr>
        <w:t>–A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filosofia da ciência consiste no estudo da natureza da ciência, de seus métodos, conceitos, pressupostos, teorias e relações com as outras disciplinas. Sobre a filosofia da ciência, assinale o que for correto.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01. </w:t>
      </w:r>
      <w:proofErr w:type="spellStart"/>
      <w:r w:rsidRPr="00452410">
        <w:rPr>
          <w:rFonts w:ascii="Arial" w:hAnsi="Arial" w:cs="Arial"/>
          <w:sz w:val="20"/>
          <w:szCs w:val="20"/>
        </w:rPr>
        <w:t>Gaston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410">
        <w:rPr>
          <w:rFonts w:ascii="Arial" w:hAnsi="Arial" w:cs="Arial"/>
          <w:sz w:val="20"/>
          <w:szCs w:val="20"/>
        </w:rPr>
        <w:t>Bachelard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, na obra Filosofia do não, defende a atitude positivista para a ciência, já que o método científico elimina, no seu processo de labor, os erros e absurdos.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02. Thomas Samuel Kuhn utiliza os conceitos de anomalia, ciência normal, paradigma e crise, para explicar as revoluções na ciência.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04. Considerado o primeiro filósofo da ciência, Aristóteles explica a mudança e o movimento das coisas por meio do “motor imóvel”, isto é, o argumento metafísico, segundo o qual, a causa primeira, causadora do movimento em todas as coisas, não pode ser causada.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08. Segundo Paul </w:t>
      </w:r>
      <w:proofErr w:type="spellStart"/>
      <w:r w:rsidRPr="00452410">
        <w:rPr>
          <w:rFonts w:ascii="Arial" w:hAnsi="Arial" w:cs="Arial"/>
          <w:sz w:val="20"/>
          <w:szCs w:val="20"/>
        </w:rPr>
        <w:t>Feyerabend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, apesar das dificuldades teóricas e práticas da atividade científica, a produção do conhecimento é segura e verdadeira, dada a neutralidade do cientista, durante a coleta dos dados.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16. De acordo com A. F. </w:t>
      </w:r>
      <w:proofErr w:type="spellStart"/>
      <w:r w:rsidRPr="00452410">
        <w:rPr>
          <w:rFonts w:ascii="Arial" w:hAnsi="Arial" w:cs="Arial"/>
          <w:sz w:val="20"/>
          <w:szCs w:val="20"/>
        </w:rPr>
        <w:t>Chalmers</w:t>
      </w:r>
      <w:proofErr w:type="spellEnd"/>
      <w:r w:rsidRPr="00452410">
        <w:rPr>
          <w:rFonts w:ascii="Arial" w:hAnsi="Arial" w:cs="Arial"/>
          <w:sz w:val="20"/>
          <w:szCs w:val="20"/>
        </w:rPr>
        <w:t>, a crença na autoridade da ciência é um mito moderno, semelhante a uma nova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452410">
        <w:rPr>
          <w:rFonts w:ascii="Arial" w:hAnsi="Arial" w:cs="Arial"/>
          <w:sz w:val="20"/>
          <w:szCs w:val="20"/>
        </w:rPr>
        <w:t>–Sentimos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que toda satisfação de nossos desejos advinda do mundo assemelha-se à esmola que mantém hoje o mendigo vivo, porém prolonga amanhã a sua fome. A resignação, ao contrário, assemelha-se à fortuna herdada: livra o herdeiro para sempre de todas as preocupações.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>SCHOPENHAUER, A. Aforismo para a sabedoria da vida. São Paulo: Martins Fontes, 2005.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O trecho destaca uma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remanescente de uma tradição filosófica ocidental, segundo a qual a felicidade se mostra indissociavelmente ligada à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consagração de relacionamentos afetivos.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administração da independência interior.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fugacidade do conhecimento empírico.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liberdade de expressão religiosa.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52410">
        <w:rPr>
          <w:rFonts w:ascii="Arial" w:hAnsi="Arial" w:cs="Arial"/>
          <w:sz w:val="20"/>
          <w:szCs w:val="20"/>
        </w:rPr>
        <w:t>busca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de prazeres efêmeros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5 </w:t>
      </w:r>
      <w:proofErr w:type="gramStart"/>
      <w:r w:rsidRPr="00452410">
        <w:rPr>
          <w:rFonts w:ascii="Arial" w:hAnsi="Arial" w:cs="Arial"/>
          <w:sz w:val="20"/>
          <w:szCs w:val="20"/>
        </w:rPr>
        <w:t>–Em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entrevista concedida à revista Época, em 26/8/2013, Peter Singer afirma: “Não devemos preservar uma vida simplesmente porque ela é humana […]. Não há motivo para manter viva toda pessoa indiscriminadamente, sem se importar com o tipo de vida que ela levará e quanto sofrerá”. </w:t>
      </w:r>
      <w:proofErr w:type="gramStart"/>
      <w:r w:rsidRPr="00452410">
        <w:rPr>
          <w:rFonts w:ascii="Arial" w:hAnsi="Arial" w:cs="Arial"/>
          <w:sz w:val="20"/>
          <w:szCs w:val="20"/>
        </w:rPr>
        <w:t>O filósofo australiano defende uma polêmica posição: “Eutanásia” significa, segundo o dicionário, ‘morte serena, sem sofrimento’, mas hoje o termo é usado para referir-se à morte daqueles que estão com doenças incuráveis e sofrem de angústia e dores insuportáveis; é uma ação praticada em seu benefício e tem por finalidade poupar-lhes a continuidade da dor e do sofrimento”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Considerando os fragmentos da entrevista de Peter Singer à Época e o fragmento do livro Ética prática, assinale como correta a alternativa que expressa o pensamento do autor sobre a eutanásia.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eutanásia é o ato de tirar a vida. Deus nos dá a vida e só cabe a Ele a decisão de tirá-la.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Na ética contemporânea, denomina-se eutanásia a situação em que se procura manter a vida de um ser humano, mesmo que não haja perspectiva de cura e que o sofrimento seja constante, tornando penosa a sua existência.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Em relação à eutanásia, Singer classifica três formas de procedimento: voluntário, involuntário e não voluntário. A eutanásia voluntária é compreendida como exercício da autonomia pessoal que procura acabar com o sofrimento considerado insuportável.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Para o autor, a alma é imortal, portanto a morte provocada, mesmo com o consentimento da pessoa em questão, não aliviará seu sofrimento.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. A eutanásia era 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aplicada à política da morte adotada pelos nazistas em relação aos povos judeus. O objetivo era justificar um poder maior ao Estado.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6 </w:t>
      </w:r>
      <w:proofErr w:type="gramStart"/>
      <w:r w:rsidRPr="00452410">
        <w:rPr>
          <w:rFonts w:ascii="Arial" w:hAnsi="Arial" w:cs="Arial"/>
          <w:sz w:val="20"/>
          <w:szCs w:val="20"/>
        </w:rPr>
        <w:t>–A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civilização tecnológica é definitivamente paradoxal e pensá-la como tal implica estar atento ao duplo sentido imposto pela questão: em primeiro lugar, entender que, efetivamente, as “maravilhas” proporcionadas pela técnica são tanto deslumbrantes como úteis à vida civilizada atual; em segundo, considerar que esse deslumbramento, fruto da inteligência humana e impulsionado pela economia de mercado, tem um preço a ser contabilizado, ou seja, o excesso de sucesso da civilização da técnica é problemático, pois nos expõe a riscos imponderáveis, o que levou Hans Jonas a eleger a “heurística do temor” como o sentimento fundador da responsabilidade e essa com força capaz de moldar um imperativo ético para este novo tempo.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>FONSÊCA, F. O. Hans Jonas: a tecnologia na senda da responsabilidade ética. In: SANTOS, R.; OLIVEIRA, J</w:t>
      </w:r>
      <w:proofErr w:type="gramStart"/>
      <w:r w:rsidRPr="00452410">
        <w:rPr>
          <w:rFonts w:ascii="Arial" w:hAnsi="Arial" w:cs="Arial"/>
          <w:sz w:val="20"/>
          <w:szCs w:val="20"/>
          <w:vertAlign w:val="subscript"/>
        </w:rPr>
        <w:t>.;</w:t>
      </w:r>
      <w:proofErr w:type="gramEnd"/>
      <w:r w:rsidRPr="00452410">
        <w:rPr>
          <w:rFonts w:ascii="Arial" w:hAnsi="Arial" w:cs="Arial"/>
          <w:sz w:val="20"/>
          <w:szCs w:val="20"/>
          <w:vertAlign w:val="subscript"/>
        </w:rPr>
        <w:t xml:space="preserve"> ZANCANARO, L. Ética para a civilização tecnológica: em diálogos com Hans Jonas. São Paulo: Centro Universitário São Camilo, 2011. </w:t>
      </w:r>
      <w:proofErr w:type="gramStart"/>
      <w:r w:rsidRPr="00452410">
        <w:rPr>
          <w:rFonts w:ascii="Arial" w:hAnsi="Arial" w:cs="Arial"/>
          <w:sz w:val="20"/>
          <w:szCs w:val="20"/>
          <w:vertAlign w:val="subscript"/>
        </w:rPr>
        <w:t>p.</w:t>
      </w:r>
      <w:proofErr w:type="gramEnd"/>
      <w:r w:rsidRPr="00452410">
        <w:rPr>
          <w:rFonts w:ascii="Arial" w:hAnsi="Arial" w:cs="Arial"/>
          <w:sz w:val="20"/>
          <w:szCs w:val="20"/>
          <w:vertAlign w:val="subscript"/>
        </w:rPr>
        <w:t xml:space="preserve"> 250.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Com base no texto e nos conhecimentos acerca de Hans Jonas, assinale a alternativa correta.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 projeto técnico da modernidade assenta-se na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de que a técnica é fraca diante da necessidade, isso significa que o ciclo da natureza é imodificável pelos seres humanos, sendo as normas construídas sob a égide da natureza. 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base teórica da ética da responsabilidade é o </w:t>
      </w:r>
      <w:proofErr w:type="spellStart"/>
      <w:r w:rsidRPr="00452410">
        <w:rPr>
          <w:rFonts w:ascii="Arial" w:hAnsi="Arial" w:cs="Arial"/>
          <w:sz w:val="20"/>
          <w:szCs w:val="20"/>
        </w:rPr>
        <w:t>utopismo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desenvolvido pelo marxismo, que evoca a fé no homem do futuro em detrimento do atual, para poder com ele concretizar o projeto utópico por meio da revolução.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ética da responsabilidade, para superar as contradições da civilização da tecnologia, move-se com o sentimento de esperança da ética da perfectibilidade de Ernst Bloch, bem como da ética racional despreocupada com a aplicabilidade. </w:t>
      </w: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ética tradicional e a técnica moderna, que se relacionam com 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de progresso e com o ideal de dominação da natureza de Francis Bacon, servem de fundamentação filosófica e epistemológica à ética de responsabilidade.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>. A ciência e a tecnologia contemporâneas podem ameaçar a sobrevivência da vida humana em caso de descontrole; neste sentido a responsabilidade como paradigma ético pode reeducar a civilização tecnológica, aconselhando seu agir.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7 </w:t>
      </w:r>
      <w:proofErr w:type="gramStart"/>
      <w:r w:rsidRPr="00452410">
        <w:rPr>
          <w:rFonts w:ascii="Arial" w:hAnsi="Arial" w:cs="Arial"/>
          <w:sz w:val="20"/>
          <w:szCs w:val="20"/>
        </w:rPr>
        <w:t>–A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filosofia da ciência contemporânea, ao contrário da tradição clássica e moderna, que acreditava no acúmulo linear do conhecimento, questionou 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de progresso e de neutralidade científica. Conceitos como crise, anomalia, descontinuidade, ruptura e incomensurabilidade (entre paradigmas científicos) inauguram uma nova orientação epistemológica, voltada para 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de ciência construída, mais do que verdadeira ou fiel à natureza do mundo.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Sobre a filosofia da ciência contemporânea, assinale o que for correto.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01. As teorias científicas não podem ser verificadas de ponta a ponta, possuindo elementos arbitrários na composição da teoria.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02. Segundo Paul </w:t>
      </w:r>
      <w:proofErr w:type="spellStart"/>
      <w:r w:rsidRPr="00452410">
        <w:rPr>
          <w:rFonts w:ascii="Arial" w:hAnsi="Arial" w:cs="Arial"/>
          <w:sz w:val="20"/>
          <w:szCs w:val="20"/>
        </w:rPr>
        <w:t>Fayerabend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, os cientistas utilizam persuasão, retórica e propaganda para convencer a comunidade científica.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04. As teorias científicas procuram explicar satisfatoriamente um conjunto significativo de fenômenos.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08. As teorias científicas se completam mutuamente, aproximando-se cada vez mais da ciência divina.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16. A prática científica é igual à do senso comum, pois não se ocupa com a verdade dos fatos.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8 </w:t>
      </w:r>
      <w:proofErr w:type="gramStart"/>
      <w:r w:rsidRPr="00452410">
        <w:rPr>
          <w:rFonts w:ascii="Arial" w:hAnsi="Arial" w:cs="Arial"/>
          <w:sz w:val="20"/>
          <w:szCs w:val="20"/>
        </w:rPr>
        <w:t>–Um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imperativo adequado ao novo tipo de agir humano e voltado para o novo tipo de sujeito atuante deveria ser mais ou menos assim: “Aja de modo a que os efeitos de tua ação sejam compatíveis com a permanência de uma autêntica vida humana sobre a Terra” [...].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JONAS, Hans. O princípio responsabilidade: ensaios de uma ética para a civilização tecnológica. Rio de Janeiro: Contraponto/PUC, 2006. </w:t>
      </w:r>
      <w:proofErr w:type="gramStart"/>
      <w:r w:rsidRPr="00452410">
        <w:rPr>
          <w:rFonts w:ascii="Arial" w:hAnsi="Arial" w:cs="Arial"/>
          <w:sz w:val="20"/>
          <w:szCs w:val="20"/>
        </w:rPr>
        <w:t>p.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47-48.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Esse trecho remete diretamente à tese defendida pelo filósofo Hans Jonas, segundo a qual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 discurso ético deve se pautar por deliberações intersubjetivas.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 imperativo ético deve se realizar como </w:t>
      </w:r>
      <w:proofErr w:type="spellStart"/>
      <w:r w:rsidRPr="00452410">
        <w:rPr>
          <w:rFonts w:ascii="Arial" w:hAnsi="Arial" w:cs="Arial"/>
          <w:sz w:val="20"/>
          <w:szCs w:val="20"/>
        </w:rPr>
        <w:t>consequência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da política.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ética deve se comprometer com a remoção do temor.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ética contemporânea deve se responsabilizar pelo futuro da vida.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52410">
        <w:rPr>
          <w:rFonts w:ascii="Arial" w:hAnsi="Arial" w:cs="Arial"/>
          <w:sz w:val="20"/>
          <w:szCs w:val="20"/>
        </w:rPr>
        <w:t>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discussão ética deve se efetivar em instâncias representativas.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9 </w:t>
      </w:r>
      <w:proofErr w:type="gramStart"/>
      <w:r w:rsidRPr="00452410">
        <w:rPr>
          <w:rFonts w:ascii="Arial" w:hAnsi="Arial" w:cs="Arial"/>
          <w:sz w:val="20"/>
          <w:szCs w:val="20"/>
        </w:rPr>
        <w:t>–Época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: Na natureza animais comem outros animais.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Peter Singer: isso não é um argumento. Na natureza o homem domina a mulher, um homem escraviza o outro. Ninguém argumenta que essas coisas sejam certas.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 xml:space="preserve">Revista Época, n. 421.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Leia as afirmações seguintes.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I. O pronome “essas” diz respeito apenas à afirmação “Na natureza animais comem outros animais”.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II. A analogia ocorre entre animais que comem outros animais e homens que comem outros animais.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III. Singer se opõe ao argumento analógico.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Está(</w:t>
      </w:r>
      <w:proofErr w:type="spellStart"/>
      <w:proofErr w:type="gramEnd"/>
      <w:r w:rsidRPr="00452410">
        <w:rPr>
          <w:rFonts w:ascii="Arial" w:hAnsi="Arial" w:cs="Arial"/>
          <w:sz w:val="20"/>
          <w:szCs w:val="20"/>
        </w:rPr>
        <w:t>ão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) correta(s) a(s) afirmativa(s)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apenas.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II apenas.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III apenas.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e II apenas.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>. II e III apenas.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10 </w:t>
      </w:r>
      <w:proofErr w:type="gramStart"/>
      <w:r w:rsidRPr="00452410">
        <w:rPr>
          <w:rFonts w:ascii="Arial" w:hAnsi="Arial" w:cs="Arial"/>
          <w:sz w:val="20"/>
          <w:szCs w:val="20"/>
        </w:rPr>
        <w:t>–Leia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 texto.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Reconhecer a ignorância torna-se, então, o outro lado da obrigação do saber e, com isso, torna-se uma parte da ética que deve instruir o autocontrole, cada vez mais necessário, sobre o nosso excessivo poder. Nenhuma ética anterior vira-se obrigada a considerar a condição global da vida humana e o futuro distante, inclusive a existência da espécie. O fato de que hoje eles estejam em jogo exige, numa palavra, uma nova concepção de direitos e deveres, para a qual nenhuma ética e metafísica antiga pode sequer oferecer os princípios, quanto mais uma doutrina acabada.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 xml:space="preserve">HANS JONAS. O princípio responsabilidade: ensaio de uma ética para a civilização tecnológica.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Após a leitura do fragmento de Hans Jonas, analise as assertivas a seguir.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I. Ao nomear sua obra como O princípio responsabilidade, o filósofo Hans Jonas atribui à ética não só um resultado ou análise imediata, mas a eleva a um patamar de </w:t>
      </w:r>
      <w:proofErr w:type="spellStart"/>
      <w:r w:rsidRPr="00452410">
        <w:rPr>
          <w:rFonts w:ascii="Arial" w:hAnsi="Arial" w:cs="Arial"/>
          <w:sz w:val="20"/>
          <w:szCs w:val="20"/>
        </w:rPr>
        <w:t>ulteridade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, ou seja, a ética deve se preocupar com a condição global da vida humana e com o futuro distante, inclusive com a existência da espécie. II. Reconhecer a ignorância, segundo o autor, deve ser a postura do homem técnico contemporâneo que, a despeito de toda grandeza ilimitada de sua engenhosidade, confrontada com a natureza, reconhece-se pequeno. Isso é ético.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III. Assim como todos os paradigmas e concepções éticas antigas, Hans Jonas considera o homem portador de um poder excessivo. Sempre que utilizar esse poder, estará agindo de forma ética.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IV. Ao se preocupar com a vida humana, o futuro distante e a existência da espécie, a ética da responsabilidade de Hans Jonas não se configura como uma análise ética possível em nossos dias.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V. Ao utilizar os princípios da ética da responsabilidade de Hans Jonas, várias atitudes contemporâneas seriam passíveis de uma mudança de postura para alcançar um ideal ético. A exemplo disso</w:t>
      </w:r>
      <w:proofErr w:type="gramStart"/>
      <w:r w:rsidRPr="00452410">
        <w:rPr>
          <w:rFonts w:ascii="Arial" w:hAnsi="Arial" w:cs="Arial"/>
          <w:sz w:val="20"/>
          <w:szCs w:val="20"/>
        </w:rPr>
        <w:t>, pode-se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citar a industrialização e seus efeitos e a utilização de tecnologia na indústria bélica.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Está(</w:t>
      </w:r>
      <w:proofErr w:type="spellStart"/>
      <w:proofErr w:type="gramEnd"/>
      <w:r w:rsidRPr="00452410">
        <w:rPr>
          <w:rFonts w:ascii="Arial" w:hAnsi="Arial" w:cs="Arial"/>
          <w:sz w:val="20"/>
          <w:szCs w:val="20"/>
        </w:rPr>
        <w:t>ão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) correta(s)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III e IV.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II, IV e V.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I, II e III.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IV e V.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>. I, II e V.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11 -</w:t>
      </w:r>
      <w:proofErr w:type="spellStart"/>
      <w:proofErr w:type="gramStart"/>
      <w:r w:rsidRPr="00452410">
        <w:rPr>
          <w:rFonts w:ascii="Arial" w:hAnsi="Arial" w:cs="Arial"/>
          <w:sz w:val="20"/>
          <w:szCs w:val="20"/>
        </w:rPr>
        <w:t>´A</w:t>
      </w:r>
      <w:proofErr w:type="spellEnd"/>
      <w:proofErr w:type="gramEnd"/>
      <w:r w:rsidRPr="00452410">
        <w:rPr>
          <w:rFonts w:ascii="Arial" w:hAnsi="Arial" w:cs="Arial"/>
          <w:sz w:val="20"/>
          <w:szCs w:val="20"/>
        </w:rPr>
        <w:t xml:space="preserve"> capacidade de sofrer e de desfrutar as coisas é uma condição essencial prévia para se ter quaisquer interesses, condição que é preciso satisfazer antes de se poder falar de interesses [...]. Seria absurdo dizer que não fazia parte dos interesses da pedra ser chutada por um garoto a caminho da escola. Uma pedra não tem interesses, pois não é capaz de sofrer. Por outro lado, um rato tem [...] um interesse em não ser atormentado, pois os ratos sofrerão [...].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 xml:space="preserve">SINGER, Peter. Ética prática. São Paulo: Martins fontes, 2002. </w:t>
      </w:r>
      <w:proofErr w:type="gramStart"/>
      <w:r w:rsidRPr="00452410">
        <w:rPr>
          <w:rFonts w:ascii="Arial" w:hAnsi="Arial" w:cs="Arial"/>
          <w:sz w:val="20"/>
          <w:szCs w:val="20"/>
          <w:vertAlign w:val="subscript"/>
        </w:rPr>
        <w:t>p.</w:t>
      </w:r>
      <w:proofErr w:type="gramEnd"/>
      <w:r w:rsidRPr="00452410">
        <w:rPr>
          <w:rFonts w:ascii="Arial" w:hAnsi="Arial" w:cs="Arial"/>
          <w:sz w:val="20"/>
          <w:szCs w:val="20"/>
          <w:vertAlign w:val="subscript"/>
        </w:rPr>
        <w:t xml:space="preserve"> 67.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Peter Singer apresenta a consideração dos interesses para sustentar sua concepção ética de que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os seres humanos devem renunciar a todas as formas de intervenção na natureza.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os comportamentos individuais devem proceder de convicções religiosas.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as ações humanas devem favorecer a introspecção como meio para a felicidade.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os seres humanos devem evitar a produção de sofrimentos para os animais. </w:t>
      </w: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52410">
        <w:rPr>
          <w:rFonts w:ascii="Arial" w:hAnsi="Arial" w:cs="Arial"/>
          <w:sz w:val="20"/>
          <w:szCs w:val="20"/>
        </w:rPr>
        <w:t>as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criações artísticas devem recusar a humanização de objetos inanimados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12 -</w:t>
      </w:r>
      <w:proofErr w:type="spellStart"/>
      <w:proofErr w:type="gramStart"/>
      <w:r w:rsidRPr="00452410">
        <w:rPr>
          <w:rFonts w:ascii="Arial" w:hAnsi="Arial" w:cs="Arial"/>
          <w:sz w:val="20"/>
          <w:szCs w:val="20"/>
        </w:rPr>
        <w:t>´Na</w:t>
      </w:r>
      <w:proofErr w:type="spellEnd"/>
      <w:proofErr w:type="gramEnd"/>
      <w:r w:rsidRPr="00452410">
        <w:rPr>
          <w:rFonts w:ascii="Arial" w:hAnsi="Arial" w:cs="Arial"/>
          <w:sz w:val="20"/>
          <w:szCs w:val="20"/>
        </w:rPr>
        <w:t xml:space="preserve"> história da filosofia, encontramos a expressão de diferentes tipos de debate que discutem a relação entre saber e poder. Sobre essa relação de conceitos, assinale o que for correto.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01. Na obra O príncipe, Maquiavel critica os “profetas desarmados”, isto é, os homens que, sem nenhum poder e conhecimento da realidade política, imaginam formas ideais de governo.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02. Michel Foucault considera que o poder como dominação exercida pelos homens, nas relações sociais, é </w:t>
      </w:r>
      <w:proofErr w:type="spellStart"/>
      <w:r w:rsidRPr="00452410">
        <w:rPr>
          <w:rFonts w:ascii="Arial" w:hAnsi="Arial" w:cs="Arial"/>
          <w:sz w:val="20"/>
          <w:szCs w:val="20"/>
        </w:rPr>
        <w:t>consequência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da ignorância e que o saber adquirido pela educação é o meio capaz de libertar os homens da opressão mútua.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04. Francis Bacon critica a filosofia clássica grega porque ela desenvolveu um saber meramente contemplativo. Para Francis Bacon, o saber deve traduzir-se em poder sobre a natureza, além de trazer aos homens bens úteis, capazes de melhorar a existência.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08. Friedrich Nietzsche segue a tradição socrática e considera homem bom e nobre aquele que for capaz de dominar a vontade de potência, submetendo-a, com sabedoria, às exigências da razão.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16. Para Karl Marx, o saber da burguesia é uma ideologia, pois oculta a realidade, expressando a visão de mundo da classe dominante e conservando um poder classista.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13 </w:t>
      </w:r>
      <w:proofErr w:type="gramStart"/>
      <w:r w:rsidRPr="00452410">
        <w:rPr>
          <w:rFonts w:ascii="Arial" w:hAnsi="Arial" w:cs="Arial"/>
          <w:sz w:val="20"/>
          <w:szCs w:val="20"/>
        </w:rPr>
        <w:t>–Um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dos objetos, ou problemas de estudo da filosofia contemporânea, consiste na reflexão em torno dos conhecimentos de natureza científica. Aliás, a desestabilização de certas verdades consonantes a este domínio no final do século XIX, bem como no desenrolar do século XX, trouxe a exigência de que a filosofia da ciência fizesse uma revisão da concepção de ciência e de sua metodologia. Com base nessa afirmação, relacione os pensadores às suas contribuições teóricas no âmbito da filosofia da ciência.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452410">
        <w:rPr>
          <w:rFonts w:ascii="Arial" w:hAnsi="Arial" w:cs="Arial"/>
          <w:sz w:val="20"/>
          <w:szCs w:val="20"/>
        </w:rPr>
        <w:t>Gaston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410">
        <w:rPr>
          <w:rFonts w:ascii="Arial" w:hAnsi="Arial" w:cs="Arial"/>
          <w:sz w:val="20"/>
          <w:szCs w:val="20"/>
        </w:rPr>
        <w:t>Bachelard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(1884-1962)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II. Rudolf </w:t>
      </w:r>
      <w:proofErr w:type="spellStart"/>
      <w:r w:rsidRPr="00452410">
        <w:rPr>
          <w:rFonts w:ascii="Arial" w:hAnsi="Arial" w:cs="Arial"/>
          <w:sz w:val="20"/>
          <w:szCs w:val="20"/>
        </w:rPr>
        <w:t>Carnap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(1891-1970)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III. Karl Popper (1902-1994)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IV. Paul </w:t>
      </w:r>
      <w:proofErr w:type="spellStart"/>
      <w:r w:rsidRPr="00452410">
        <w:rPr>
          <w:rFonts w:ascii="Arial" w:hAnsi="Arial" w:cs="Arial"/>
          <w:sz w:val="20"/>
          <w:szCs w:val="20"/>
        </w:rPr>
        <w:t>Feyerabend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(1924-1994)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V. Thomas Kuhn (1922-1996)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A. Afirma que um cientista deve ter como preocupação a refutação de sua teoria pela experiência empírica. A existência de refutações de caráter empírico é o que faz com que uma teoria se corrobore. Além disso, rejeitou a metafísica e foi um crítico do marxismo e da psicanálise dizendo que eram pseudociências.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B. Critica a noção de que o conhecimento científico é uma forma superior de conhecimento e defende a legitimidade de modalidades de saber consagradas por diferentes grupos culturais.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C. Defende com o grupo de estudiosos do Círculo de Viena que o saber científico deve estar esvaziado de conceitos insignificantes, bem como dos falsos problemas metafísicos, devendo ser submetido ao critério da </w:t>
      </w:r>
      <w:proofErr w:type="spellStart"/>
      <w:r w:rsidRPr="00452410">
        <w:rPr>
          <w:rFonts w:ascii="Arial" w:hAnsi="Arial" w:cs="Arial"/>
          <w:sz w:val="20"/>
          <w:szCs w:val="20"/>
        </w:rPr>
        <w:t>verificabilidade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. Por essa via, os critérios de verdade de uma teoria só podem ser explicados empiricamente, não comportando o a priori.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D. Examina as revoluções científicas e desenvolve conceitos como paradigma, anomalia, ciência normal e ciência extraordinária, os quais são essenciais em suas reflexões epistemológicas.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E. Sustenta a </w:t>
      </w:r>
      <w:proofErr w:type="spellStart"/>
      <w:r w:rsidRPr="00452410">
        <w:rPr>
          <w:rFonts w:ascii="Arial" w:hAnsi="Arial" w:cs="Arial"/>
          <w:sz w:val="20"/>
          <w:szCs w:val="20"/>
        </w:rPr>
        <w:t>ideia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de descontinuidade em ciência, em que esta só existe a partir do momento em que vira as costas para tudo o que conhecia e compreendia antes. Há conhecimento científico quando os mitos, os rumores, as opiniões e as crenças são destruídas e descartadas. Trata-se da ruptura epistemológica. Os conceitos de paradigma, anomalia, ciência normal e ciência extraordinária são elaborados por Kuhn.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Assinale a alternativa que contém a associação correta.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A, II – B, III – C, IV – D, V – E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A, II – D, III – E, IV – C, V – B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D, II – C, III – A, IV – E, V – B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I – E, II – C, III – A, IV – B, V – D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>. I – E, II – A, III – B, IV – C, V – D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14 </w:t>
      </w:r>
      <w:proofErr w:type="gramStart"/>
      <w:r w:rsidRPr="00452410">
        <w:rPr>
          <w:rFonts w:ascii="Arial" w:hAnsi="Arial" w:cs="Arial"/>
          <w:sz w:val="20"/>
          <w:szCs w:val="20"/>
        </w:rPr>
        <w:t>–</w:t>
      </w:r>
      <w:proofErr w:type="spellStart"/>
      <w:r w:rsidRPr="00452410">
        <w:rPr>
          <w:rFonts w:ascii="Arial" w:hAnsi="Arial" w:cs="Arial"/>
          <w:sz w:val="20"/>
          <w:szCs w:val="20"/>
        </w:rPr>
        <w:t>Feyerabend</w:t>
      </w:r>
      <w:proofErr w:type="spellEnd"/>
      <w:proofErr w:type="gramEnd"/>
      <w:r w:rsidRPr="00452410">
        <w:rPr>
          <w:rFonts w:ascii="Arial" w:hAnsi="Arial" w:cs="Arial"/>
          <w:sz w:val="20"/>
          <w:szCs w:val="20"/>
        </w:rPr>
        <w:t xml:space="preserve"> argumenta, com sucesso, contra o método na extensão em que mostrou que não é aconselhável que as escolhas e decisões dos cientistas sejam restringidas por regras estabelecidas ou implícitas na metodologia da ciência.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 xml:space="preserve">CHALMERS, A. F. O que é ciência, afinal? São Paulo: Brasiliense, 1993. </w:t>
      </w:r>
      <w:proofErr w:type="gramStart"/>
      <w:r w:rsidRPr="00452410">
        <w:rPr>
          <w:rFonts w:ascii="Arial" w:hAnsi="Arial" w:cs="Arial"/>
          <w:sz w:val="20"/>
          <w:szCs w:val="20"/>
          <w:vertAlign w:val="subscript"/>
        </w:rPr>
        <w:t>p.</w:t>
      </w:r>
      <w:proofErr w:type="gramEnd"/>
      <w:r w:rsidRPr="00452410">
        <w:rPr>
          <w:rFonts w:ascii="Arial" w:hAnsi="Arial" w:cs="Arial"/>
          <w:sz w:val="20"/>
          <w:szCs w:val="20"/>
          <w:vertAlign w:val="subscript"/>
        </w:rPr>
        <w:t xml:space="preserve"> 180.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O texto remete diretamente à concepção, defendida por </w:t>
      </w:r>
      <w:proofErr w:type="spellStart"/>
      <w:r w:rsidRPr="00452410">
        <w:rPr>
          <w:rFonts w:ascii="Arial" w:hAnsi="Arial" w:cs="Arial"/>
          <w:sz w:val="20"/>
          <w:szCs w:val="20"/>
        </w:rPr>
        <w:t>Feyerabend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, de que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os avanços científicos são obtidos na transgressão dos métodos.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os problemas ambientais são produzidos com a participação da ciência.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as outras formas culturais de conhecimento são tão legítimas quanto a ciência. </w:t>
      </w:r>
      <w:proofErr w:type="gramStart"/>
      <w:r w:rsidRPr="00452410">
        <w:rPr>
          <w:rFonts w:ascii="Arial" w:hAnsi="Arial" w:cs="Arial"/>
          <w:sz w:val="20"/>
          <w:szCs w:val="20"/>
        </w:rPr>
        <w:t>d.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as atividades científicas são mobilizadas pelo critério </w:t>
      </w:r>
      <w:proofErr w:type="spellStart"/>
      <w:r w:rsidRPr="00452410">
        <w:rPr>
          <w:rFonts w:ascii="Arial" w:hAnsi="Arial" w:cs="Arial"/>
          <w:sz w:val="20"/>
          <w:szCs w:val="20"/>
        </w:rPr>
        <w:t>falsificacionista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52410">
        <w:rPr>
          <w:rFonts w:ascii="Arial" w:hAnsi="Arial" w:cs="Arial"/>
          <w:sz w:val="20"/>
          <w:szCs w:val="20"/>
        </w:rPr>
        <w:t>as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sociedades contemporâneas são marcadas pela retomada da religiosidade.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15 </w:t>
      </w:r>
      <w:proofErr w:type="gramStart"/>
      <w:r w:rsidRPr="00452410">
        <w:rPr>
          <w:rFonts w:ascii="Arial" w:hAnsi="Arial" w:cs="Arial"/>
          <w:sz w:val="20"/>
          <w:szCs w:val="20"/>
        </w:rPr>
        <w:t>–O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termo bioética foi, primeiramente, utilizado pelo médico norte-americano V. R. </w:t>
      </w:r>
      <w:proofErr w:type="spellStart"/>
      <w:r w:rsidRPr="00452410">
        <w:rPr>
          <w:rFonts w:ascii="Arial" w:hAnsi="Arial" w:cs="Arial"/>
          <w:sz w:val="20"/>
          <w:szCs w:val="20"/>
        </w:rPr>
        <w:t>Potter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no início da década de 1970. [...] Nos últimos trinta anos, a bioética cresceu rapidamente como área de conhecimento e tornou-se particularmente importante nas ciências relacionadas com a vida humana, tais como a medicina, a enfermagem, a biologia, o direito etc., apesar de ser um objeto de estudo interdisciplinar e ter ocupado também lugar central na filosofia moral.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452410">
        <w:rPr>
          <w:rFonts w:ascii="Arial" w:hAnsi="Arial" w:cs="Arial"/>
          <w:sz w:val="20"/>
          <w:szCs w:val="20"/>
          <w:vertAlign w:val="subscript"/>
        </w:rPr>
        <w:t xml:space="preserve">D. </w:t>
      </w:r>
      <w:proofErr w:type="spellStart"/>
      <w:proofErr w:type="gramStart"/>
      <w:r w:rsidRPr="00452410">
        <w:rPr>
          <w:rFonts w:ascii="Arial" w:hAnsi="Arial" w:cs="Arial"/>
          <w:sz w:val="20"/>
          <w:szCs w:val="20"/>
          <w:vertAlign w:val="subscript"/>
        </w:rPr>
        <w:t>Dall'Agnol</w:t>
      </w:r>
      <w:proofErr w:type="spellEnd"/>
      <w:proofErr w:type="gramEnd"/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Tendo em conta o ponto de vista da bioética, é correto afirmar que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a.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questões relacionadas à intervenção na natureza e ao uso de recursos naturais são independentes das que dizem respeito à segurança, ao meio ambiente e ao bem-estar comum.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b.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conduta humana no âmbito das ciências da vida e da saúde não precisa ser analisada à luz dos valores e princípios morais. 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c.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é preciso discutir a questão da responsabilidade e da autoridade da ciência e do médico em relação às intervenções e limites de certas experiências, tais como o aborto induzido, a esterilização, a eutanásia, a clonagem, as células-tronco etc. d. o conhecimento científico, exatamente por tratar da verdade, não pode sofrer limitações por questões éticas e, portanto, é independente de valores morais. 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52410">
        <w:rPr>
          <w:rFonts w:ascii="Arial" w:hAnsi="Arial" w:cs="Arial"/>
          <w:sz w:val="20"/>
          <w:szCs w:val="20"/>
        </w:rPr>
        <w:t>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52410">
        <w:rPr>
          <w:rFonts w:ascii="Arial" w:hAnsi="Arial" w:cs="Arial"/>
          <w:sz w:val="20"/>
          <w:szCs w:val="20"/>
        </w:rPr>
        <w:t>a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ciência é uma atividade imparcial, neutra e desinteressada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16 </w:t>
      </w:r>
      <w:proofErr w:type="gramStart"/>
      <w:r w:rsidRPr="00452410">
        <w:rPr>
          <w:rFonts w:ascii="Arial" w:hAnsi="Arial" w:cs="Arial"/>
          <w:sz w:val="20"/>
          <w:szCs w:val="20"/>
        </w:rPr>
        <w:t>–Explique</w:t>
      </w:r>
      <w:proofErr w:type="gramEnd"/>
      <w:r w:rsidRPr="00452410">
        <w:rPr>
          <w:rFonts w:ascii="Arial" w:hAnsi="Arial" w:cs="Arial"/>
          <w:sz w:val="20"/>
          <w:szCs w:val="20"/>
        </w:rPr>
        <w:t xml:space="preserve"> a concepção metafísica de </w:t>
      </w:r>
      <w:proofErr w:type="spellStart"/>
      <w:r w:rsidRPr="00452410">
        <w:rPr>
          <w:rFonts w:ascii="Arial" w:hAnsi="Arial" w:cs="Arial"/>
          <w:sz w:val="20"/>
          <w:szCs w:val="20"/>
        </w:rPr>
        <w:t>Schopenhauer</w:t>
      </w:r>
      <w:proofErr w:type="spellEnd"/>
      <w:r w:rsidRPr="00452410">
        <w:rPr>
          <w:rFonts w:ascii="Arial" w:hAnsi="Arial" w:cs="Arial"/>
          <w:sz w:val="20"/>
          <w:szCs w:val="20"/>
        </w:rPr>
        <w:t>, para a qual a vontade é a realidade íntima de tudo o que existe.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 xml:space="preserve">17 - Caracterize o anarquismo metodológico de Paul </w:t>
      </w:r>
      <w:proofErr w:type="spellStart"/>
      <w:r w:rsidRPr="00452410">
        <w:rPr>
          <w:rFonts w:ascii="Arial" w:hAnsi="Arial" w:cs="Arial"/>
          <w:sz w:val="20"/>
          <w:szCs w:val="20"/>
        </w:rPr>
        <w:t>Feyerabend</w:t>
      </w:r>
      <w:proofErr w:type="spellEnd"/>
      <w:r w:rsidRPr="00452410">
        <w:rPr>
          <w:rFonts w:ascii="Arial" w:hAnsi="Arial" w:cs="Arial"/>
          <w:sz w:val="20"/>
          <w:szCs w:val="20"/>
        </w:rPr>
        <w:t xml:space="preserve"> e explique sua crítica à primazia que a cultura ocidental contemporânea concede à ciência.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18 - Explique os motivos pelos quais, segundo Hans Jonas, as éticas tradicionais não são adequadas para a realidade contemporânea.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19 - Explique a proposta ética de Hans Jonas.</w:t>
      </w: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2410" w:rsidRP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  <w:r w:rsidRPr="00452410">
        <w:rPr>
          <w:rFonts w:ascii="Arial" w:hAnsi="Arial" w:cs="Arial"/>
          <w:sz w:val="20"/>
          <w:szCs w:val="20"/>
        </w:rPr>
        <w:t>20 - Descreva o argumento, desenvolvido por Peter Singer, de que a ética deve considerar os interesses dos animais.</w:t>
      </w:r>
    </w:p>
    <w:p w:rsidR="000839EF" w:rsidRDefault="000839EF" w:rsidP="000839EF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0839EF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3403</Words>
  <Characters>17819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2021-11-26T17:12:00Z</dcterms:created>
  <dcterms:modified xsi:type="dcterms:W3CDTF">2021-11-26T17:13:00Z</dcterms:modified>
</cp:coreProperties>
</file>