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78006B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014795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78006B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PAULA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F82D7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78006B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014795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78006B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PAULA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F82D7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1. (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Puccamp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) "O populismo foi (...) a expressão política do desenvolvimento do pólo dinâmico da economia - do setor agrário para o urbano -, através do processo de desenvolvimento industrial, em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grande parte impulsionado pela revolução de 1930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. No plano social, tais transformações econômicas implicaram a emergência das classes populares urbanas (...). Chama-se de populismo, nesse contexto, a forma de manifestação das insatisfações da massa popular urbana e, ao mesmo tempo, o seu reconhecimento e (...) manipulação pelo Estado."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O populismo, ao qual o texto se refere, é o que caracterizou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o Estado Novo, em que as classes populares atingiram um alto grau de autonomia e participação no processo político.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predominantemente a política desenvolvimentista adotada durante o governo de Juscelino Kubitschek.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o descontentamento popular que levou à renúncia do presidente Jânio Quadros em 1961.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d) o período da história 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repúblicana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do Brasil que vai da ditadura Vargas ao golpe militar de 1964.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inexistência de conflitos entre os vários segmentos sociais no modelo de Estado do período de 1954 a 1964.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2. (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Cesgranrio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O conjunto de fatos relacionados abaixo dizem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respeito ao processo de abertura democrática iniciado pelo presidente Geisel, com EXCEÇÃO de um. Assinale-o.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demissão do Ministro da Guerra Sílvio Frota e o movimento de anistia;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 liberdade para criação de novos partidos políticos, como UDN e PTB, e o pluralismo sindical;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A eleição de Tancredo Neves e o fim da Lei de Segurança Nacional;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A promulgação da Constituição de 1988 e a eliminação da censura;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Campanha das Diretas-Já e a criação de novos partidos políticos como, entre outros, o PFL, o PMDB e o PDT.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3. (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Faap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O Ato Institucional nº 5, editado durante o governo do General Costa e Silva, permitiu a esse presidente da República, entre outras medidas: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convocar uma Assembléia Nacional Constituinte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criar novos ministérios e empresas estatais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decretar o recesso parlamentar e promover cassações de mandatos e de direitos políticos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contratar maiores empréstimos no exterior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promover uma reformulação do sistema partidário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4. (Fatec) O período compreendido entre a Redemocratização de 1945 e o início das "aberturas democráticas" pelo ex-presidente Ernesto Geisel apresentou diferentes momentos com relação às políticas econômicas adotadas.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Assim, podemos dizer que: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João Goulart tentou, durante seu governo, retomar o crescimento econômico do Brasil com o Plano Salte (que visava ao pagamento de nossa dívida externa e o combate à inflação), o que lhe daria amplo apoio dos grupos financeiros internacionais.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b) No governo de Jânio Quadros, o apelo nacionalista de grande impacto sobre a classe média urbana levou ao desenvolvimento da capacidade produtiva dos setores ligados à energia e aos combustíveis, sendo exemplo disso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fundação da Petrobrás.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Juscelino Kubitschek, com seu Plano de Metas, possibilitou o desenvolvimento industrial em função de um vigoroso monopólio nacional dos chamados setores de ponta de nossa economia e, para tal, obteve forte apoio da burguesia nacional.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d) O período compreendido entre 1970 e 1973 representou o apogeu do conhecido "milagre brasileiro", que se baseava no investimento de capitais estrangeiros, na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participação do Estado nos chamados setores básicos e na expansão do sistema de crédito ao consumidor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O populismo do governo de Getúlio Vargas tentou orientar a política econômica no sentido de favorecer as classes agrárias, que constituíram o segmento político mais expressivo naquele momento.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5. (Fatec) O chamado "Milagre Econômico" do período da ditadura militar brasileira, entre 1968 e 1973, resultou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gramEnd"/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arrocho salarial; situação internacional vantajosa, preços dos produtos brasileiros mais altos e dos estrangeiros mais baixos; grandes investimentos estatais; taxas de juros internacionais baixas; grande endividamento externo público e particular; participação de multinacionais.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arrocho salarial; situação internacional vantajosa, pois o preço dos produtos brasileiros era mais alto, e o dos estrangeiros, mais baixo; pequeno endividamento externo e interno; taxas de juros internacionais baixas.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arrocho salarial; situação internacional complicada, favorecendo o mercado externo para nossos produtos; taxas de juros internacionais altas; pequenos investimentos das estatais e participação das multinacionais na implantação de indústrias de base.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situação internacional vantajosa; taxas de juros internacionais altas; pequeno endividamento externo público e particular; transferência de capital de multinacionais para o Brasil; privatização das estatais.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situação internacional vantajosa; taxas de juros internacionais baixas; desenvolvimento do mercado interno, devido à política de aumentos salariais; participação de multinacionais.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6. (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Fgv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O Movimento "Diretas Já", que promoveu em 1984 uma intensa mobilização popular a favor da eleição direta para Presidente da República, teve como resultado imediato: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eleição de um governo popular e democrático chefiado por José Sarney;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 eleição do candidato da oposição, Tancredo Neves, pela via indireta;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a primeira eleição direta do Presidente da República, a primeira em quase trinta anos, com a vitória de Fernando Collor de Mello;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d) a 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anti-candidatura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de Ulysses Guimarães e a convocação da Assembléia Nacional Constituinte;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revogação dos Atos Institucionais, apesar da derrota da emenda das Diretas.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7. (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Fuvest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A vitória do Brasil na Copa do Mundo de 1970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não teve qualquer repercussão no campo político, por se tratar de um acontecimento estritamente esportivo.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alentou o trabalho das oposições que deram destaque à capacidade do povo brasileiro de realizar grandes proezas.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propiciou uma operação de propaganda do governo Médici, tentando associar a conquista ao regime autoritário.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favoreceu o projeto de abertura do general Geisel, ao criar um clima de otimismo pelas realizações do governo.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alcançou repercussão muito limitada, pois os meios de comunicação não tinham a eficácia que têm hoje.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8. (Mackenzie)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Foram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características do breve governo Jânio Quadros em 1961: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política externa totalmente alinhada aos interesses norte-americanos.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b) a ausência de medidas 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antinflacionárias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>, gerando a forte pressão do FMI.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o estilo personalista e polêmico do presidente, além da oposição conservadora à política externa independente de seu governo.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a intensa colaboração entre presidente e Congresso nas questões administrativas.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total dependência política do presidente em relação ao seu partido, a UDN.</w:t>
      </w:r>
    </w:p>
    <w:p w:rsidR="00014795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4ED0" w:rsidRDefault="00E94ED0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4ED0" w:rsidRPr="003B74DB" w:rsidRDefault="00E94ED0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9. (Mackenzie) O pretexto para a implantação do Ato 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lnstitucional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Nº 5, a 13 de dezembro de 1968, pelo governo Costa e Silva, foi: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passeata dos Cem Mil, no Rio de Janeiro, exigindo o retorno à democracia.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 luta armada liderada pelo PCB, contra o regime militar.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ás greves de Osasco e Contagem.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a decisão do Congresso de não suspender as imunidades do deputado Márcio Moreira Alves, acusado de ofender as Forças Armadas.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e) a morte do estudante Edson 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Luis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>, em protesto contra o governo.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10. (Mackenzie) O ano de 1968 foi crucial. O movimento estudantil se espalhou por todo o país, sofrendo violenta repressão do governo. Diante das pressões da sociedade, o governo militar reagiu, decretando: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deposição do Presidente João Goulart, cujo modelo populista de governo dava sinais de esgotamento.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o Ato Institucional nº 5, que conferia ao Presidente Costa e Silva poderes totais para reprimir as oposições.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a Abertura Democrática, lenta e gradual, que reconduzia o país à democratização.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a Anistia, que embora não fosse irrestrita, permitiu o retorno de muitos exilados políticos.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solução parlamentarista, que possibilitou controlar a grave crise institucional em que vivia o país.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11. (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Pucpr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O "milagre econômico" fez da economia brasileira, na década de 70, a oitava economia do mundo capitalista. O PIB - produto interno bruto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, teve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notável crescimento e o ufanismo chegou até a "slogans" como: "Brasil, ame-o ou deixe-o"; "Ninguém segura este país". O Presidente Médici era aplaudido quando entrava no estádio do Maracanã.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O "milagre" apoiou-se em algumas colunas básicas, entre as quais não está incluído: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empresa nacional - apoiada por subsídios e por uma política de arrocho salarial.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b) A prática do liberalismo econômico - com livre jogo nos mercados, de produtos nacionais e importados, tendo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os últimos baixas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taxas alfandegárias.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O capital estrangeiro - em forma de empréstimos e investimentos diretos, que afluíam abundantemente.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Conjuntura favorável do capitalismo mundial, incluindo preços baixos do petróleo árabe/venezuelano.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empresa estatal - com numerosas atribuições, respondendo por 50% do PIB em 1970.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12. (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Ufes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"CENSURA AO 'PARALAMAS' TRAZ TESOURA DE VOLTA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Extinta oficialmente em 1985, a censura treina novos cortes nos tempos de abertura: o grupo Paralamas do Sucesso foi proibido de cantar a música 'Luís Inácio' num show em Brasília"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14795" w:rsidRPr="00E94ED0" w:rsidRDefault="00014795" w:rsidP="00E94ED0">
      <w:pPr>
        <w:shd w:val="clear" w:color="auto" w:fill="FFFFFF" w:themeFill="background1"/>
        <w:spacing w:after="0"/>
        <w:ind w:left="-851" w:right="-852"/>
        <w:jc w:val="right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E94ED0">
        <w:rPr>
          <w:rFonts w:ascii="Arial" w:eastAsia="Times New Roman" w:hAnsi="Arial" w:cs="Arial"/>
          <w:i/>
          <w:color w:val="000000"/>
          <w:sz w:val="20"/>
          <w:szCs w:val="20"/>
        </w:rPr>
        <w:t>(O GLOBO, 19-07-95)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O conteúdo da notícia, embora em situação e contexto diferentes, faz-nos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lembrar a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época em que a censura foi aplicada com intensidade na ditadura militar, especialmente após 1968, quando a repressão se tornou mais rigorosa com o AI-5, imposto num ambiente marcado por vários fatores, dentre eles o: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fim oficial do FGTS, o que irritou os trabalhadores pela perda dos valores depositados.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enfraquecimento da base política do governo no Congresso, com a recusa dos parlamentares em permitir a perda da imunidade de um deputado para processo judicial.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apoio do chamado Tropicalismo, manifestação cultural de defesa da ditadura, principalmente por meio da música.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movimento de revolta de Jacareacanga, no Pará, que contestava o regime, conseguindo, entre os militares, cada vez maior número de adeptos.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apoio garantido pela compra pelo Brasil de um porta-aviões para ser incorporado à Marinha como suporte aeronaval às medidas repressoras do governo.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13. (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Uff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"Brasil, ame-o ou deixe-o" foi um dos célebres 'slogans' do regime militar, em torno de 1970, época em que o Governo Médici divulgava a imagem do "Brasil Grande" e proclamava o "Milagre Econômico" que faria do país uma grande potência. Assinale a opção que melhor caracteriza a política econômica correspondente ao chamado "Milagre".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Fusão do capital industrial e do bancário, gerando monopólios capazes de impor preços inflacionários, dos quais resultaram o crescimento econômico e o aumento do mercado consumidor nos grandes centros urbanos.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lastRenderedPageBreak/>
        <w:t>b) Desenvolvimento de obras de infra-estrutura, a exemplo de hidrelétricas e rodovias, com base na poupança nacional e no investimento de bancos públicos.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Crescimento econômico e aquecimento do mercado de bens duráveis ancorados em políticas salariais redistributivas e na indexação de rendimentos do mercado financeiro.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d) Elevados investimentos no setor de bens de capital e na indústria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automobilística combinados a uma vigorosa agricultura comercial de médio porte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e) Incentivo à entrada maciça de capitais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estrangeiros combinada ao arrocho salarial, resultando em elevados índices de crescimento econômico e inflação baixa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14. (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Ufmg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A Política de Distensão, levada a cabo pelo General Ernesto Geisel, visava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amainar a tensão política entre Governo e Oposição.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ampliar a base de apoio do Governo junto às Forças Armadas.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anular as ações políticas de seu antecessor, General Médici.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garantir a sobrevivência do Milagre Econômico.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retomar decisões estratégicas definidas pela Junta Militar.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15. (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Ufmg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A economia brasileira na década de 1980 se caracterizou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pela continuação do modelo de substituição de importações, que mantinha o equilíbrio da balança de pagamentos.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pela estagnação do PIB e pelo aumento do volume das exportações que se orientava para saldar a dívida externa.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pelo aumento da produção industrial e do mercado consumidor, o que permitia uma divisão mais igualitária da renda.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pelo crescimento acelerado do PIB, que convivia com altas taxas de inflação.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pelo crescimento exagerado da renda e do produto, que era acompanhado da elevação do nível de vida em geral.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16. (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Ufmg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O golpe político-militar de 1964 acarretou transformações na economia brasileira originadas das mudanças nas relações de trabalho, das novas necessidades do desenvolvimento capitalista no país e das mudanças na conjuntura internacional.</w:t>
      </w:r>
    </w:p>
    <w:p w:rsidR="00014795" w:rsidRPr="00E94ED0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Todas as alternativas apresentam indicadores corretos das transformações na economia brasileira pós-64, </w:t>
      </w:r>
      <w:r w:rsidRPr="00E94ED0">
        <w:rPr>
          <w:rFonts w:ascii="Arial" w:eastAsia="Times New Roman" w:hAnsi="Arial" w:cs="Arial"/>
          <w:b/>
          <w:color w:val="000000"/>
          <w:sz w:val="20"/>
          <w:szCs w:val="20"/>
        </w:rPr>
        <w:t>EXCETO: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abertura do país às empresas multinacionais a partir da abolição das restrições à remessa de lucros para o exterior.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 adoção de uma nova política salarial e a implantação do Fundo de Garantia por Tempo de Serviço (FGTS) substituindo o sistema de estabilidade no emprego.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A consolidação do setor industrial nacional através da elevação dos salários urbanos e do aumento da oferta e do consumo de bens não duráveis.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A elevação do volume de impostos e a conseqüente falência de um grande número de pequenas e médias empresas.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expansão da indústria petroquímica, siderúrgica e do alumínio, realizada sob o patrocínio do Estado, com a participação de conglomerados nacionais e estrangeiros.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17. (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Ufmg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O Partido Trabalhista Brasileiro (PTB) esteve no centro da crise que resultou no golpe político-militar de 1964.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Todas as alternativas apresentam afirmações corretas sobre o PTB, EXCETO: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Alguns setores do PTB, após o suicídio de Vargas, conseguiram uma grande autonomia e defenderam a formação de uma frente popular, a Frente Parlamentar Nacionalista, para neutralizar a ala de centro do Partido.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O fortalecimento da ARENA (Aliança Renovadora Nacional) junto às classes trabalhadoras urbanas deslocou o PTB de sua posição hegemônica e rompeu o equilíbrio político da década de 60.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O partido surgiu como instrumento de manipulação do governo Vargas e buscou, em especial, conter o avanço do Partido Comunista Brasileiro no controle da classe trabalhadora.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lastRenderedPageBreak/>
        <w:t>d) O PTB manteve uma coligação eleitoral histórica com o PSD (Partido Social Democrático), que tinha sua base política no campo e era sustentado pelo localismo e coronelismo.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O PTB tinha características marcadamente nacionalistas, defendia uma política estatizante em relação à economia e apresentava feição reformista.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18. (</w:t>
      </w:r>
      <w:proofErr w:type="spellStart"/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Ufmg</w:t>
      </w:r>
      <w:proofErr w:type="spellEnd"/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>) A reforma partidária, que implantou o pluripartidarismo no Brasil, no governo Figueiredo, tinha por objetivo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consolidar os resultados das eleições de 1974 que deram ampla vitória ao partido do governo, o PDS.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levar os liberais, concentrados no PP, para engrossar as fileiras do PRS e fortalecer o apoio ao governo.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quebrar o monopólio que o MDB exercia na oposição fragmentando-o em inúmeros partidos e evitando a sua ascensão ao poder.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revigorar o PDT para que esse pudesse enfrentar o PT nas eleições majoritárias.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utilizar os antigos militantes da UDN nos quadros da ARENA para que essa, fundindo-se com o PDS, vencesse as eleições para governadores.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19. (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Ufrrj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)       "(...) Considerando que, assim, se torna imperiosa a adoção de medidas que impeçam sejam frustrados os ideais superiores da Revolução, preservando a ordem, a segurança, a tranqüilidade e o desenvolvimento econômico e cultural e a harmonia política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social</w:t>
      </w:r>
      <w:proofErr w:type="gram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 do país (...)."</w:t>
      </w:r>
    </w:p>
    <w:p w:rsidR="00014795" w:rsidRPr="00E94ED0" w:rsidRDefault="00014795" w:rsidP="00E94ED0">
      <w:pPr>
        <w:shd w:val="clear" w:color="auto" w:fill="FFFFFF" w:themeFill="background1"/>
        <w:spacing w:after="0"/>
        <w:ind w:left="-851" w:right="-852"/>
        <w:jc w:val="right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94ED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                       (Ato Institucional nº 5 - 13/12/1968.</w:t>
      </w:r>
      <w:proofErr w:type="gramStart"/>
      <w:r w:rsidRPr="00E94ED0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  <w:proofErr w:type="gramEnd"/>
    </w:p>
    <w:p w:rsidR="00014795" w:rsidRPr="00E94ED0" w:rsidRDefault="00014795" w:rsidP="00E94ED0">
      <w:pPr>
        <w:shd w:val="clear" w:color="auto" w:fill="FFFFFF" w:themeFill="background1"/>
        <w:spacing w:after="0"/>
        <w:ind w:left="-851" w:right="-852"/>
        <w:jc w:val="right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014795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A edição do AI-5 representou, há 30 anos, uma radicalização do poder gerado pelo golpe político-militar de abril de 1964 no Brasil. Diante do quadro que se apresentava na época, podemos entender que "os ideais superiores da Revolução"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significavam</w:t>
      </w:r>
      <w:proofErr w:type="gramEnd"/>
    </w:p>
    <w:p w:rsidR="00E94ED0" w:rsidRPr="003B74DB" w:rsidRDefault="00E94ED0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a integração do capitalismo brasileiro ao grande capital internacional e a representação da segurança nacional por um anticomunismo radical.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a implantação da chamada "República Sindicalista" e a vinculação econômica ao sistema financeiro internacional.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o desenvolvimento capitalista independente e a aproximação político-cultural com os países latino-americanos.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a maior aproximação com o capitalismo europeu, para romper a dependência com os Estados Unidos e a União Soviética.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a criação de uma economia planificada e uma aproximação com outros regimes revolucionários da América.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20. (</w:t>
      </w:r>
      <w:proofErr w:type="spell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Ufrs</w:t>
      </w:r>
      <w:proofErr w:type="spellEnd"/>
      <w:r w:rsidRPr="003B74DB">
        <w:rPr>
          <w:rFonts w:ascii="Arial" w:eastAsia="Times New Roman" w:hAnsi="Arial" w:cs="Arial"/>
          <w:color w:val="000000"/>
          <w:sz w:val="20"/>
          <w:szCs w:val="20"/>
        </w:rPr>
        <w:t xml:space="preserve">) O planejamento econômico no período em que os militares controlaram o poder político brasileiro de forma direta, de 1964 a 1985, refletiu-se na economia sul-rio-grandense </w:t>
      </w:r>
      <w:proofErr w:type="gramStart"/>
      <w:r w:rsidRPr="003B74DB">
        <w:rPr>
          <w:rFonts w:ascii="Arial" w:eastAsia="Times New Roman" w:hAnsi="Arial" w:cs="Arial"/>
          <w:color w:val="000000"/>
          <w:sz w:val="20"/>
          <w:szCs w:val="20"/>
        </w:rPr>
        <w:t>através</w:t>
      </w:r>
      <w:proofErr w:type="gramEnd"/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a) da recuperação da pecuária de corte, preservando-se o modelo de produção tradicional.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b) da tendência crescente da produção de bens intermediários para a indústria do Sudeste do País.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c) da crescente autonomia da produção industrial em relação ao centro do País.</w:t>
      </w:r>
    </w:p>
    <w:p w:rsidR="00014795" w:rsidRPr="003B74DB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d) do assentamento dos primeiros pequenos proprietários rurais na região do Vale do Rio dos Sinos.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74DB">
        <w:rPr>
          <w:rFonts w:ascii="Arial" w:eastAsia="Times New Roman" w:hAnsi="Arial" w:cs="Arial"/>
          <w:color w:val="000000"/>
          <w:sz w:val="20"/>
          <w:szCs w:val="20"/>
        </w:rPr>
        <w:t>e) do deslocamento da criação de gado para a região da Campanha.</w:t>
      </w:r>
    </w:p>
    <w:p w:rsidR="00E94ED0" w:rsidRDefault="00E94ED0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21. (</w:t>
      </w:r>
      <w:proofErr w:type="spellStart"/>
      <w:r w:rsidRPr="00B7642D">
        <w:rPr>
          <w:rFonts w:ascii="Arial" w:eastAsia="Times New Roman" w:hAnsi="Arial" w:cs="Arial"/>
          <w:color w:val="000000"/>
          <w:sz w:val="20"/>
          <w:szCs w:val="20"/>
        </w:rPr>
        <w:t>Cftmg</w:t>
      </w:r>
      <w:proofErr w:type="spellEnd"/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 2010) Analise a imagem.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A charge refere-se </w:t>
      </w:r>
      <w:proofErr w:type="gramStart"/>
      <w:r w:rsidRPr="00B7642D">
        <w:rPr>
          <w:rFonts w:ascii="Arial" w:eastAsia="Times New Roman" w:hAnsi="Arial" w:cs="Arial"/>
          <w:color w:val="000000"/>
          <w:sz w:val="20"/>
          <w:szCs w:val="20"/>
        </w:rPr>
        <w:t>a(</w:t>
      </w:r>
      <w:proofErr w:type="gramEnd"/>
      <w:r w:rsidRPr="00B7642D">
        <w:rPr>
          <w:rFonts w:ascii="Arial" w:eastAsia="Times New Roman" w:hAnsi="Arial" w:cs="Arial"/>
          <w:color w:val="000000"/>
          <w:sz w:val="20"/>
          <w:szCs w:val="20"/>
        </w:rPr>
        <w:t>ao)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a) crescimento da indústria automobilística com a desvalorização cambial, em virtude do aumento do preço da gasolina.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b) fim do chamado milagre econômico brasileiro com a desestabilização econômica, levando a um agudo descontrole financeiro.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c) campanha O Petróleo é nosso! </w:t>
      </w:r>
      <w:proofErr w:type="gramStart"/>
      <w:r w:rsidRPr="00B7642D">
        <w:rPr>
          <w:rFonts w:ascii="Arial" w:eastAsia="Times New Roman" w:hAnsi="Arial" w:cs="Arial"/>
          <w:color w:val="000000"/>
          <w:sz w:val="20"/>
          <w:szCs w:val="20"/>
        </w:rPr>
        <w:t>promovida</w:t>
      </w:r>
      <w:proofErr w:type="gramEnd"/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 pelos governos militares, defendendo o monopólio estatal na extração do petróleo.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d) entrada do capital estrangeiro a partir de multinacionais do ramo automobilístico, facilitando a aquisição de carros pela população.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22. (Mackenzie 2010) A estrutura psicológica do ser humano não suporta que a dor e a angústia se mantenham tão vivas na memória como no momento em que ocorreram. [...] Por isso, agora, ao sairmos desses 20 anos difíceis e doloridos de nossa história, a lembrança de que houve irmãos nossos, nesse período, que perseguiam sem piedade, torturaram e mesmo mataram pessoas pelo simples fato de elas se oporem ao governo que se impôs ao país em 1964, parece mais pesadelo do que realidade. E, no entanto, esse absurdo </w:t>
      </w:r>
      <w:proofErr w:type="gramStart"/>
      <w:r w:rsidRPr="00B7642D">
        <w:rPr>
          <w:rFonts w:ascii="Arial" w:eastAsia="Times New Roman" w:hAnsi="Arial" w:cs="Arial"/>
          <w:color w:val="000000"/>
          <w:sz w:val="20"/>
          <w:szCs w:val="20"/>
        </w:rPr>
        <w:t>ocorreu,</w:t>
      </w:r>
      <w:proofErr w:type="gramEnd"/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 aqui em nossa terra, como se um vendaval frio de loucura tivesse gelado esses corações. [...] Que objetivos justificam tudo isso?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D. Paulo Evaristo Arns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Identifique a alternativa relacionada ao contexto histórico citado.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a) O Brasil, liderado pelos Estados Unidos, vivia guerra aberta contra o narcotráfico que, aliado às FARC, assolava a América do Sul, sobretudo a região de fronteira amazônica.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b) A chamada “guerra das civilizações” entre Ocidente e Oriente ameaçava a hegemonia americana; apoiando ditaduras militares, os EUA procuravam deter o avanço do fanatismo islâmico na América.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c) O mundo encontrava-se em sua ordem bipolar e os Estados Unidos </w:t>
      </w:r>
      <w:proofErr w:type="gramStart"/>
      <w:r w:rsidRPr="00B7642D">
        <w:rPr>
          <w:rFonts w:ascii="Arial" w:eastAsia="Times New Roman" w:hAnsi="Arial" w:cs="Arial"/>
          <w:color w:val="000000"/>
          <w:sz w:val="20"/>
          <w:szCs w:val="20"/>
        </w:rPr>
        <w:t>procuravam,</w:t>
      </w:r>
      <w:proofErr w:type="gramEnd"/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 por meio do apoio a golpes e a regimes ditatoriais na América Latina, deter o avanço do Comunismo.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d) O avanço da ideologia nazista pelo mundo e as pretensões imperialistas alemãs justificam as práticas autoritárias citadas, que garantiriam o sucesso da Doutrina de Segurança Nacional.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e) O crescimento do Positivismo entre os líderes populistas ameaçava os ideais neoliberais das Forças Armadas, que tomaram o poder e implantaram um verdadeiro “terror de estado” no país.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23. (</w:t>
      </w:r>
      <w:proofErr w:type="gramStart"/>
      <w:r w:rsidRPr="00B7642D">
        <w:rPr>
          <w:rFonts w:ascii="Arial" w:eastAsia="Times New Roman" w:hAnsi="Arial" w:cs="Arial"/>
          <w:color w:val="000000"/>
          <w:sz w:val="20"/>
          <w:szCs w:val="20"/>
        </w:rPr>
        <w:t>Uerj</w:t>
      </w:r>
      <w:proofErr w:type="gramEnd"/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 2010) O gráfico a seguir representa as variações nas exportações de produtos brasileiros, entre as décadas de 1960 e 1990.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A alternativa que correlaciona adequadamente recorte temporal, tipo de produto e contexto histórico do decréscimo no percentual das exportações é: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a) 1964/1974 – café – retração da fronteira agrícola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b) 1974/1976 – industrializado – crise internacional do petróleo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c) 1982/1996 – agrícola – modelo de substituição de importações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d) 1984/1992 – extrativo – estabilidade monetária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24. (Unifesp 2009) Nos últimos anos do regime militar (1964-1985), a gradual abertura política implicou iniciativas do governo e de movimentos sociais e políticos. Um dos marcos dessa abertura foi: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a) A reforma partidária, que suprimiu os partidos políticos então existentes e implantou um regime bipartidário.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b) O chamado "milagre econômico", que permitiu crescimento acentuado da economia brasileira e aumentou a dívida externa.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c) A campanha pelo "impeachment" de Fernando Collor, que fora acusado de diversos atos ilícitos no exercício da Presidência.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d) O estabelecimento de novas regras eleitorais, que determinaram eleições diretas imediatas para presidente.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e) A lei da anistia, que permitia a volta de exilados políticos e isentava militares que haviam atuado na repressão política.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25. (</w:t>
      </w:r>
      <w:proofErr w:type="gramStart"/>
      <w:r w:rsidRPr="00B7642D">
        <w:rPr>
          <w:rFonts w:ascii="Arial" w:eastAsia="Times New Roman" w:hAnsi="Arial" w:cs="Arial"/>
          <w:color w:val="000000"/>
          <w:sz w:val="20"/>
          <w:szCs w:val="20"/>
        </w:rPr>
        <w:t>Uerj</w:t>
      </w:r>
      <w:proofErr w:type="gramEnd"/>
      <w:r w:rsidRPr="00B7642D">
        <w:rPr>
          <w:rFonts w:ascii="Arial" w:eastAsia="Times New Roman" w:hAnsi="Arial" w:cs="Arial"/>
          <w:color w:val="000000"/>
          <w:sz w:val="20"/>
          <w:szCs w:val="20"/>
        </w:rPr>
        <w:t xml:space="preserve"> 2012)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A expansão do consumo de eletrodomésticos, como o televisor, foi uma das características do processo de modernização da sociedade brasileira nas décadas de 1960 e 1970. Havia, no entanto, contradições relacionadas ao exercício dos direitos políticos.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Uma dessas contradições estava associada ao seguinte aspecto: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a) restrição do voto feminino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b) supressão do poder legislativo</w:t>
      </w:r>
    </w:p>
    <w:p w:rsidR="00014795" w:rsidRPr="00B7642D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c) proibição das associações sindicais</w:t>
      </w:r>
    </w:p>
    <w:p w:rsidR="00F35393" w:rsidRPr="00F82D78" w:rsidRDefault="00014795" w:rsidP="00E94ED0">
      <w:pPr>
        <w:shd w:val="clear" w:color="auto" w:fill="FFFFFF" w:themeFill="background1"/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B7642D">
        <w:rPr>
          <w:rFonts w:ascii="Arial" w:eastAsia="Times New Roman" w:hAnsi="Arial" w:cs="Arial"/>
          <w:color w:val="000000"/>
          <w:sz w:val="20"/>
          <w:szCs w:val="20"/>
        </w:rPr>
        <w:t>d) cerceamento da representação partidária</w:t>
      </w:r>
      <w:bookmarkStart w:id="0" w:name="_GoBack"/>
      <w:bookmarkEnd w:id="0"/>
    </w:p>
    <w:sectPr w:rsidR="00F35393" w:rsidRPr="00F82D78" w:rsidSect="00501A50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14795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40902"/>
    <w:rsid w:val="0078006B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B3F5F"/>
    <w:rsid w:val="00AF071D"/>
    <w:rsid w:val="00B41753"/>
    <w:rsid w:val="00BA768B"/>
    <w:rsid w:val="00BD385A"/>
    <w:rsid w:val="00BD4805"/>
    <w:rsid w:val="00C11EA7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94ED0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3360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4</cp:revision>
  <cp:lastPrinted>2018-02-02T11:27:00Z</cp:lastPrinted>
  <dcterms:created xsi:type="dcterms:W3CDTF">2018-10-15T16:46:00Z</dcterms:created>
  <dcterms:modified xsi:type="dcterms:W3CDTF">2018-10-22T14:43:00Z</dcterms:modified>
</cp:coreProperties>
</file>